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001" w:rsidRPr="00582D86" w:rsidRDefault="005F2001" w:rsidP="005F2001">
      <w:pPr>
        <w:pBdr>
          <w:top w:val="single" w:sz="4" w:space="1" w:color="000000"/>
          <w:left w:val="single" w:sz="4" w:space="4" w:color="000000"/>
          <w:right w:val="single" w:sz="4" w:space="4" w:color="000000"/>
        </w:pBdr>
        <w:shd w:val="clear" w:color="auto" w:fill="FFFFFF" w:themeFill="background1"/>
        <w:spacing w:after="0" w:line="240" w:lineRule="auto"/>
        <w:jc w:val="center"/>
        <w:rPr>
          <w:rFonts w:eastAsia="Times New Roman" w:cs="Arial"/>
          <w:b/>
          <w:bCs/>
          <w:iCs/>
          <w:color w:val="000000"/>
          <w:sz w:val="24"/>
          <w:szCs w:val="24"/>
          <w:lang w:eastAsia="pt-BR"/>
        </w:rPr>
      </w:pPr>
      <w:r>
        <w:rPr>
          <w:rFonts w:eastAsia="Times New Roman" w:cs="Arial"/>
          <w:b/>
          <w:bCs/>
          <w:iCs/>
          <w:color w:val="000000"/>
          <w:sz w:val="24"/>
          <w:szCs w:val="24"/>
          <w:lang w:eastAsia="pt-BR"/>
        </w:rPr>
        <w:t>XXIV</w:t>
      </w:r>
      <w:r w:rsidRPr="00582D86">
        <w:rPr>
          <w:rFonts w:eastAsia="Times New Roman" w:cs="Arial"/>
          <w:b/>
          <w:bCs/>
          <w:iCs/>
          <w:color w:val="000000"/>
          <w:sz w:val="24"/>
          <w:szCs w:val="24"/>
          <w:lang w:eastAsia="pt-BR"/>
        </w:rPr>
        <w:t xml:space="preserve"> Semana Cien</w:t>
      </w:r>
      <w:r>
        <w:rPr>
          <w:rFonts w:eastAsia="Times New Roman" w:cs="Arial"/>
          <w:b/>
          <w:bCs/>
          <w:iCs/>
          <w:color w:val="000000"/>
          <w:sz w:val="24"/>
          <w:szCs w:val="24"/>
          <w:lang w:eastAsia="pt-BR"/>
        </w:rPr>
        <w:t xml:space="preserve">tífica </w:t>
      </w:r>
      <w:proofErr w:type="spellStart"/>
      <w:r>
        <w:rPr>
          <w:rFonts w:eastAsia="Times New Roman" w:cs="Arial"/>
          <w:b/>
          <w:bCs/>
          <w:iCs/>
          <w:color w:val="000000"/>
          <w:sz w:val="24"/>
          <w:szCs w:val="24"/>
          <w:lang w:eastAsia="pt-BR"/>
        </w:rPr>
        <w:t>Johanna</w:t>
      </w:r>
      <w:proofErr w:type="spellEnd"/>
      <w:r>
        <w:rPr>
          <w:rFonts w:eastAsia="Times New Roman" w:cs="Arial"/>
          <w:b/>
          <w:bCs/>
          <w:iCs/>
          <w:color w:val="000000"/>
          <w:sz w:val="24"/>
          <w:szCs w:val="24"/>
          <w:lang w:eastAsia="pt-BR"/>
        </w:rPr>
        <w:t xml:space="preserve"> </w:t>
      </w:r>
      <w:proofErr w:type="spellStart"/>
      <w:r>
        <w:rPr>
          <w:rFonts w:eastAsia="Times New Roman" w:cs="Arial"/>
          <w:b/>
          <w:bCs/>
          <w:iCs/>
          <w:color w:val="000000"/>
          <w:sz w:val="24"/>
          <w:szCs w:val="24"/>
          <w:lang w:eastAsia="pt-BR"/>
        </w:rPr>
        <w:t>Döbereiner</w:t>
      </w:r>
      <w:proofErr w:type="spellEnd"/>
      <w:r>
        <w:rPr>
          <w:rFonts w:eastAsia="Times New Roman" w:cs="Arial"/>
          <w:b/>
          <w:bCs/>
          <w:iCs/>
          <w:color w:val="000000"/>
          <w:sz w:val="24"/>
          <w:szCs w:val="24"/>
          <w:lang w:eastAsia="pt-BR"/>
        </w:rPr>
        <w:t xml:space="preserve"> – 2024</w:t>
      </w:r>
    </w:p>
    <w:p w:rsidR="005F2001" w:rsidRDefault="005F2001" w:rsidP="005F2001">
      <w:pPr>
        <w:pBdr>
          <w:top w:val="single" w:sz="4" w:space="1" w:color="000000"/>
          <w:left w:val="single" w:sz="4" w:space="4" w:color="000000"/>
          <w:right w:val="single" w:sz="4" w:space="4" w:color="000000"/>
        </w:pBdr>
        <w:shd w:val="clear" w:color="auto" w:fill="FFFFFF" w:themeFill="background1"/>
        <w:spacing w:after="0" w:line="240" w:lineRule="auto"/>
        <w:rPr>
          <w:rFonts w:eastAsia="Times New Roman" w:cs="Arial"/>
          <w:b/>
          <w:bCs/>
          <w:i/>
          <w:iCs/>
          <w:color w:val="000000"/>
          <w:sz w:val="24"/>
          <w:szCs w:val="24"/>
          <w:lang w:eastAsia="pt-BR"/>
        </w:rPr>
      </w:pPr>
    </w:p>
    <w:p w:rsidR="005F2001" w:rsidRPr="00C9732A" w:rsidRDefault="005F2001" w:rsidP="005F2001">
      <w:pPr>
        <w:pBdr>
          <w:left w:val="single" w:sz="4" w:space="4" w:color="000000"/>
          <w:right w:val="single" w:sz="4" w:space="4" w:color="000000"/>
        </w:pBdr>
        <w:shd w:val="clear" w:color="auto" w:fill="FFFFFF" w:themeFill="background1"/>
        <w:spacing w:after="0" w:line="240" w:lineRule="auto"/>
        <w:jc w:val="center"/>
        <w:rPr>
          <w:rFonts w:ascii="Arial" w:eastAsia="Times New Roman" w:hAnsi="Arial" w:cs="Arial"/>
          <w:b/>
          <w:bCs/>
          <w:color w:val="000000"/>
          <w:sz w:val="24"/>
          <w:szCs w:val="24"/>
          <w:lang w:eastAsia="pt-BR"/>
        </w:rPr>
      </w:pPr>
      <w:r w:rsidRPr="00C9732A">
        <w:rPr>
          <w:rFonts w:ascii="Arial" w:eastAsia="Times New Roman" w:hAnsi="Arial" w:cs="Arial"/>
          <w:b/>
          <w:bCs/>
          <w:color w:val="000000"/>
          <w:sz w:val="24"/>
          <w:szCs w:val="24"/>
          <w:lang w:eastAsia="pt-BR"/>
        </w:rPr>
        <w:t>D</w:t>
      </w:r>
      <w:bookmarkStart w:id="0" w:name="_GoBack"/>
      <w:r w:rsidRPr="00C9732A">
        <w:rPr>
          <w:rFonts w:ascii="Arial" w:eastAsia="Times New Roman" w:hAnsi="Arial" w:cs="Arial"/>
          <w:b/>
          <w:bCs/>
          <w:color w:val="000000"/>
          <w:sz w:val="24"/>
          <w:szCs w:val="24"/>
          <w:lang w:eastAsia="pt-BR"/>
        </w:rPr>
        <w:t xml:space="preserve">iversidade </w:t>
      </w:r>
      <w:r>
        <w:rPr>
          <w:rFonts w:ascii="Arial" w:eastAsia="Times New Roman" w:hAnsi="Arial" w:cs="Arial"/>
          <w:b/>
          <w:bCs/>
          <w:color w:val="000000"/>
          <w:sz w:val="24"/>
          <w:szCs w:val="24"/>
          <w:lang w:eastAsia="pt-BR"/>
        </w:rPr>
        <w:t>f</w:t>
      </w:r>
      <w:r w:rsidRPr="00C9732A">
        <w:rPr>
          <w:rFonts w:ascii="Arial" w:eastAsia="Times New Roman" w:hAnsi="Arial" w:cs="Arial"/>
          <w:b/>
          <w:bCs/>
          <w:color w:val="000000"/>
          <w:sz w:val="24"/>
          <w:szCs w:val="24"/>
          <w:lang w:eastAsia="pt-BR"/>
        </w:rPr>
        <w:t xml:space="preserve">uncional na </w:t>
      </w:r>
      <w:r>
        <w:rPr>
          <w:rFonts w:ascii="Arial" w:eastAsia="Times New Roman" w:hAnsi="Arial" w:cs="Arial"/>
          <w:b/>
          <w:bCs/>
          <w:color w:val="000000"/>
          <w:sz w:val="24"/>
          <w:szCs w:val="24"/>
          <w:lang w:eastAsia="pt-BR"/>
        </w:rPr>
        <w:t>s</w:t>
      </w:r>
      <w:r w:rsidRPr="00C9732A">
        <w:rPr>
          <w:rFonts w:ascii="Arial" w:eastAsia="Times New Roman" w:hAnsi="Arial" w:cs="Arial"/>
          <w:b/>
          <w:bCs/>
          <w:color w:val="000000"/>
          <w:sz w:val="24"/>
          <w:szCs w:val="24"/>
          <w:lang w:eastAsia="pt-BR"/>
        </w:rPr>
        <w:t xml:space="preserve">íntese de </w:t>
      </w:r>
      <w:proofErr w:type="spellStart"/>
      <w:r>
        <w:rPr>
          <w:rFonts w:ascii="Arial" w:eastAsia="Times New Roman" w:hAnsi="Arial" w:cs="Arial"/>
          <w:b/>
          <w:bCs/>
          <w:color w:val="000000"/>
          <w:sz w:val="24"/>
          <w:szCs w:val="24"/>
          <w:lang w:eastAsia="pt-BR"/>
        </w:rPr>
        <w:t>i</w:t>
      </w:r>
      <w:r w:rsidRPr="00C9732A">
        <w:rPr>
          <w:rFonts w:ascii="Arial" w:eastAsia="Times New Roman" w:hAnsi="Arial" w:cs="Arial"/>
          <w:b/>
          <w:bCs/>
          <w:color w:val="000000"/>
          <w:sz w:val="24"/>
          <w:szCs w:val="24"/>
          <w:lang w:eastAsia="pt-BR"/>
        </w:rPr>
        <w:t>ndol</w:t>
      </w:r>
      <w:bookmarkEnd w:id="0"/>
      <w:proofErr w:type="spellEnd"/>
      <w:r w:rsidRPr="00C9732A">
        <w:rPr>
          <w:rFonts w:ascii="Arial" w:eastAsia="Times New Roman" w:hAnsi="Arial" w:cs="Arial"/>
          <w:b/>
          <w:bCs/>
          <w:color w:val="000000"/>
          <w:sz w:val="24"/>
          <w:szCs w:val="24"/>
          <w:lang w:eastAsia="pt-BR"/>
        </w:rPr>
        <w:t xml:space="preserve"> entre </w:t>
      </w:r>
      <w:r>
        <w:rPr>
          <w:rFonts w:ascii="Arial" w:eastAsia="Times New Roman" w:hAnsi="Arial" w:cs="Arial"/>
          <w:b/>
          <w:bCs/>
          <w:color w:val="000000"/>
          <w:sz w:val="24"/>
          <w:szCs w:val="24"/>
          <w:lang w:eastAsia="pt-BR"/>
        </w:rPr>
        <w:t>estirpes</w:t>
      </w:r>
      <w:r w:rsidRPr="00C9732A">
        <w:rPr>
          <w:rFonts w:ascii="Arial" w:eastAsia="Times New Roman" w:hAnsi="Arial" w:cs="Arial"/>
          <w:b/>
          <w:bCs/>
          <w:color w:val="000000"/>
          <w:sz w:val="24"/>
          <w:szCs w:val="24"/>
          <w:lang w:eastAsia="pt-BR"/>
        </w:rPr>
        <w:t xml:space="preserve"> de </w:t>
      </w:r>
      <w:proofErr w:type="spellStart"/>
      <w:r w:rsidRPr="008862FA">
        <w:rPr>
          <w:rFonts w:ascii="Arial" w:eastAsia="Times New Roman" w:hAnsi="Arial" w:cs="Arial"/>
          <w:b/>
          <w:bCs/>
          <w:i/>
          <w:iCs/>
          <w:color w:val="000000"/>
          <w:sz w:val="24"/>
          <w:szCs w:val="24"/>
          <w:lang w:eastAsia="pt-BR"/>
        </w:rPr>
        <w:t>Nitrospirillum</w:t>
      </w:r>
      <w:proofErr w:type="spellEnd"/>
      <w:r w:rsidRPr="00C9732A">
        <w:rPr>
          <w:rFonts w:ascii="Arial" w:eastAsia="Times New Roman" w:hAnsi="Arial" w:cs="Arial"/>
          <w:b/>
          <w:bCs/>
          <w:color w:val="000000"/>
          <w:sz w:val="24"/>
          <w:szCs w:val="24"/>
          <w:lang w:eastAsia="pt-BR"/>
        </w:rPr>
        <w:t xml:space="preserve">: </w:t>
      </w:r>
      <w:r>
        <w:rPr>
          <w:rFonts w:ascii="Arial" w:eastAsia="Times New Roman" w:hAnsi="Arial" w:cs="Arial"/>
          <w:b/>
          <w:bCs/>
          <w:color w:val="000000"/>
          <w:sz w:val="24"/>
          <w:szCs w:val="24"/>
          <w:lang w:eastAsia="pt-BR"/>
        </w:rPr>
        <w:t>u</w:t>
      </w:r>
      <w:r w:rsidRPr="00C9732A">
        <w:rPr>
          <w:rFonts w:ascii="Arial" w:eastAsia="Times New Roman" w:hAnsi="Arial" w:cs="Arial"/>
          <w:b/>
          <w:bCs/>
          <w:color w:val="000000"/>
          <w:sz w:val="24"/>
          <w:szCs w:val="24"/>
          <w:lang w:eastAsia="pt-BR"/>
        </w:rPr>
        <w:t xml:space="preserve">m </w:t>
      </w:r>
      <w:r>
        <w:rPr>
          <w:rFonts w:ascii="Arial" w:eastAsia="Times New Roman" w:hAnsi="Arial" w:cs="Arial"/>
          <w:b/>
          <w:bCs/>
          <w:color w:val="000000"/>
          <w:sz w:val="24"/>
          <w:szCs w:val="24"/>
          <w:lang w:eastAsia="pt-BR"/>
        </w:rPr>
        <w:t>e</w:t>
      </w:r>
      <w:r w:rsidRPr="00C9732A">
        <w:rPr>
          <w:rFonts w:ascii="Arial" w:eastAsia="Times New Roman" w:hAnsi="Arial" w:cs="Arial"/>
          <w:b/>
          <w:bCs/>
          <w:color w:val="000000"/>
          <w:sz w:val="24"/>
          <w:szCs w:val="24"/>
          <w:lang w:eastAsia="pt-BR"/>
        </w:rPr>
        <w:t xml:space="preserve">studo </w:t>
      </w:r>
      <w:r>
        <w:rPr>
          <w:rFonts w:ascii="Arial" w:eastAsia="Times New Roman" w:hAnsi="Arial" w:cs="Arial"/>
          <w:b/>
          <w:bCs/>
          <w:color w:val="000000"/>
          <w:sz w:val="24"/>
          <w:szCs w:val="24"/>
          <w:lang w:eastAsia="pt-BR"/>
        </w:rPr>
        <w:t>c</w:t>
      </w:r>
      <w:r w:rsidRPr="00C9732A">
        <w:rPr>
          <w:rFonts w:ascii="Arial" w:eastAsia="Times New Roman" w:hAnsi="Arial" w:cs="Arial"/>
          <w:b/>
          <w:bCs/>
          <w:color w:val="000000"/>
          <w:sz w:val="24"/>
          <w:szCs w:val="24"/>
          <w:lang w:eastAsia="pt-BR"/>
        </w:rPr>
        <w:t>omparativo</w:t>
      </w:r>
    </w:p>
    <w:p w:rsidR="005F2001" w:rsidRDefault="005F2001" w:rsidP="005F2001">
      <w:pPr>
        <w:pBdr>
          <w:left w:val="single" w:sz="4" w:space="4" w:color="000000"/>
          <w:right w:val="single" w:sz="4" w:space="4" w:color="000000"/>
        </w:pBdr>
        <w:shd w:val="clear" w:color="auto" w:fill="FFFFFF" w:themeFill="background1"/>
        <w:spacing w:after="0" w:line="240" w:lineRule="auto"/>
        <w:rPr>
          <w:rFonts w:eastAsia="Times New Roman" w:cs="Arial"/>
          <w:i/>
          <w:iCs/>
          <w:color w:val="000000"/>
          <w:sz w:val="18"/>
          <w:szCs w:val="18"/>
          <w:lang w:eastAsia="pt-BR"/>
        </w:rPr>
      </w:pPr>
    </w:p>
    <w:p w:rsidR="005F2001" w:rsidRDefault="005F2001" w:rsidP="005F2001">
      <w:pPr>
        <w:pBdr>
          <w:left w:val="single" w:sz="4" w:space="4" w:color="000000"/>
          <w:right w:val="single" w:sz="4" w:space="4" w:color="000000"/>
        </w:pBdr>
        <w:shd w:val="clear" w:color="auto" w:fill="FFFFFF" w:themeFill="background1"/>
        <w:spacing w:after="0" w:line="240" w:lineRule="auto"/>
        <w:rPr>
          <w:rFonts w:eastAsia="Times New Roman" w:cs="Arial"/>
          <w:i/>
          <w:iCs/>
          <w:color w:val="000000"/>
          <w:sz w:val="18"/>
          <w:szCs w:val="18"/>
          <w:lang w:eastAsia="pt-BR"/>
        </w:rPr>
      </w:pPr>
    </w:p>
    <w:p w:rsidR="005F2001" w:rsidRPr="00C9732A" w:rsidRDefault="005F2001" w:rsidP="005F2001">
      <w:pPr>
        <w:pBdr>
          <w:left w:val="single" w:sz="4" w:space="4" w:color="000000"/>
          <w:right w:val="single" w:sz="4" w:space="4" w:color="000000"/>
        </w:pBdr>
        <w:shd w:val="clear" w:color="auto" w:fill="FFFFFF" w:themeFill="background1"/>
        <w:spacing w:after="0" w:line="240" w:lineRule="auto"/>
        <w:rPr>
          <w:rFonts w:ascii="Arial" w:eastAsia="Times New Roman" w:hAnsi="Arial" w:cs="Arial"/>
          <w:i/>
          <w:iCs/>
          <w:color w:val="000000"/>
          <w:sz w:val="18"/>
          <w:szCs w:val="18"/>
          <w:lang w:eastAsia="pt-BR"/>
        </w:rPr>
      </w:pPr>
      <w:r w:rsidRPr="00C9732A">
        <w:rPr>
          <w:rFonts w:ascii="Arial" w:eastAsia="Times New Roman" w:hAnsi="Arial" w:cs="Arial"/>
          <w:i/>
          <w:iCs/>
          <w:color w:val="000000"/>
          <w:sz w:val="18"/>
          <w:szCs w:val="18"/>
          <w:lang w:eastAsia="pt-BR"/>
        </w:rPr>
        <w:t>Francisco Matheus Medeiros de Freitas</w:t>
      </w:r>
      <w:r>
        <w:rPr>
          <w:rFonts w:ascii="Arial" w:eastAsia="Times New Roman" w:hAnsi="Arial" w:cs="Arial"/>
          <w:i/>
          <w:iCs/>
          <w:color w:val="000000"/>
          <w:sz w:val="18"/>
          <w:szCs w:val="18"/>
          <w:lang w:eastAsia="pt-BR"/>
        </w:rPr>
        <w:t>¹,</w:t>
      </w:r>
      <w:r w:rsidRPr="00C9732A">
        <w:rPr>
          <w:rFonts w:ascii="Arial" w:eastAsia="Times New Roman" w:hAnsi="Arial" w:cs="Arial"/>
          <w:i/>
          <w:iCs/>
          <w:color w:val="000000"/>
          <w:sz w:val="18"/>
          <w:szCs w:val="18"/>
          <w:lang w:eastAsia="pt-BR"/>
        </w:rPr>
        <w:t xml:space="preserve"> Alberto Fernandes de Oliveira Junior</w:t>
      </w:r>
      <w:r w:rsidRPr="00530300">
        <w:rPr>
          <w:rFonts w:ascii="Arial" w:eastAsia="Times New Roman" w:hAnsi="Arial" w:cs="Arial"/>
          <w:i/>
          <w:iCs/>
          <w:color w:val="000000"/>
          <w:sz w:val="18"/>
          <w:szCs w:val="18"/>
          <w:vertAlign w:val="superscript"/>
          <w:lang w:eastAsia="pt-BR"/>
        </w:rPr>
        <w:t>2</w:t>
      </w:r>
      <w:r w:rsidRPr="00C9732A">
        <w:rPr>
          <w:rFonts w:ascii="Arial" w:eastAsia="Times New Roman" w:hAnsi="Arial" w:cs="Arial"/>
          <w:i/>
          <w:iCs/>
          <w:color w:val="000000"/>
          <w:sz w:val="18"/>
          <w:szCs w:val="18"/>
          <w:lang w:eastAsia="pt-BR"/>
        </w:rPr>
        <w:t xml:space="preserve">, </w:t>
      </w:r>
      <w:proofErr w:type="spellStart"/>
      <w:r w:rsidRPr="00C9732A">
        <w:rPr>
          <w:rFonts w:ascii="Arial" w:eastAsia="Times New Roman" w:hAnsi="Arial" w:cs="Arial"/>
          <w:i/>
          <w:iCs/>
          <w:color w:val="000000"/>
          <w:sz w:val="18"/>
          <w:szCs w:val="18"/>
          <w:lang w:eastAsia="pt-BR"/>
        </w:rPr>
        <w:t>Jerri</w:t>
      </w:r>
      <w:proofErr w:type="spellEnd"/>
      <w:r w:rsidRPr="00C9732A">
        <w:rPr>
          <w:rFonts w:ascii="Arial" w:eastAsia="Times New Roman" w:hAnsi="Arial" w:cs="Arial"/>
          <w:i/>
          <w:iCs/>
          <w:color w:val="000000"/>
          <w:sz w:val="18"/>
          <w:szCs w:val="18"/>
          <w:lang w:eastAsia="pt-BR"/>
        </w:rPr>
        <w:t xml:space="preserve"> Édson Zilli</w:t>
      </w:r>
      <w:r w:rsidRPr="00530300">
        <w:rPr>
          <w:rFonts w:ascii="Arial" w:eastAsia="Times New Roman" w:hAnsi="Arial" w:cs="Arial"/>
          <w:i/>
          <w:iCs/>
          <w:color w:val="000000"/>
          <w:sz w:val="18"/>
          <w:szCs w:val="18"/>
          <w:vertAlign w:val="superscript"/>
          <w:lang w:eastAsia="pt-BR"/>
        </w:rPr>
        <w:t>3</w:t>
      </w:r>
    </w:p>
    <w:p w:rsidR="005F2001" w:rsidRDefault="005F2001" w:rsidP="005F2001">
      <w:pPr>
        <w:pBdr>
          <w:left w:val="single" w:sz="4" w:space="4" w:color="000000"/>
          <w:right w:val="single" w:sz="4" w:space="4" w:color="000000"/>
        </w:pBdr>
        <w:shd w:val="clear" w:color="auto" w:fill="FFFFFF" w:themeFill="background1"/>
        <w:spacing w:after="0" w:line="240" w:lineRule="auto"/>
        <w:rPr>
          <w:rFonts w:ascii="Arial" w:eastAsia="Times New Roman" w:hAnsi="Arial" w:cs="Arial"/>
          <w:i/>
          <w:iCs/>
          <w:color w:val="000000"/>
          <w:sz w:val="18"/>
          <w:szCs w:val="18"/>
          <w:lang w:eastAsia="pt-BR"/>
        </w:rPr>
      </w:pPr>
    </w:p>
    <w:p w:rsidR="005F2001" w:rsidRPr="00E37600" w:rsidRDefault="005F2001" w:rsidP="005F2001">
      <w:pPr>
        <w:pBdr>
          <w:left w:val="single" w:sz="4" w:space="4" w:color="000000"/>
          <w:right w:val="single" w:sz="4" w:space="4" w:color="000000"/>
        </w:pBdr>
        <w:shd w:val="clear" w:color="auto" w:fill="FFFFFF" w:themeFill="background1"/>
        <w:spacing w:after="0" w:line="240" w:lineRule="auto"/>
        <w:rPr>
          <w:rFonts w:ascii="Arial" w:eastAsia="Times New Roman" w:hAnsi="Arial" w:cs="Arial"/>
          <w:color w:val="000000"/>
          <w:sz w:val="16"/>
          <w:szCs w:val="16"/>
          <w:lang w:eastAsia="pt-BR"/>
        </w:rPr>
      </w:pPr>
      <w:r w:rsidRPr="00E37600">
        <w:rPr>
          <w:rFonts w:ascii="Arial" w:eastAsia="Times New Roman" w:hAnsi="Arial" w:cs="Arial"/>
          <w:color w:val="000000"/>
          <w:sz w:val="16"/>
          <w:szCs w:val="16"/>
          <w:lang w:eastAsia="pt-BR"/>
        </w:rPr>
        <w:t>¹Mestrando em Agronomia (Ciências do Solo), UF</w:t>
      </w:r>
      <w:r>
        <w:rPr>
          <w:rFonts w:ascii="Arial" w:eastAsia="Times New Roman" w:hAnsi="Arial" w:cs="Arial"/>
          <w:color w:val="000000"/>
          <w:sz w:val="16"/>
          <w:szCs w:val="16"/>
          <w:lang w:eastAsia="pt-BR"/>
        </w:rPr>
        <w:t>R</w:t>
      </w:r>
      <w:r w:rsidRPr="00E37600">
        <w:rPr>
          <w:rFonts w:ascii="Arial" w:eastAsia="Times New Roman" w:hAnsi="Arial" w:cs="Arial"/>
          <w:color w:val="000000"/>
          <w:sz w:val="16"/>
          <w:szCs w:val="16"/>
          <w:lang w:eastAsia="pt-BR"/>
        </w:rPr>
        <w:t xml:space="preserve">RJ, </w:t>
      </w:r>
      <w:hyperlink r:id="rId4" w:history="1">
        <w:r w:rsidRPr="00E37600">
          <w:rPr>
            <w:rStyle w:val="Hyperlink"/>
            <w:rFonts w:ascii="Arial" w:eastAsia="Times New Roman" w:hAnsi="Arial" w:cs="Arial"/>
            <w:sz w:val="16"/>
            <w:szCs w:val="16"/>
            <w:lang w:eastAsia="pt-BR"/>
          </w:rPr>
          <w:t>matheusmedeiros@ufrrj.br</w:t>
        </w:r>
      </w:hyperlink>
      <w:r w:rsidRPr="00E37600">
        <w:rPr>
          <w:rFonts w:ascii="Arial" w:eastAsia="Times New Roman" w:hAnsi="Arial" w:cs="Arial"/>
          <w:color w:val="000000"/>
          <w:sz w:val="16"/>
          <w:szCs w:val="16"/>
          <w:lang w:eastAsia="pt-BR"/>
        </w:rPr>
        <w:t xml:space="preserve">, ²Firjan - Federação das Indústrias do Estado do Rio de Janeiro, </w:t>
      </w:r>
      <w:hyperlink r:id="rId5" w:history="1">
        <w:r w:rsidRPr="00E37600">
          <w:rPr>
            <w:rStyle w:val="Hyperlink"/>
            <w:rFonts w:ascii="Arial" w:eastAsia="Times New Roman" w:hAnsi="Arial" w:cs="Arial"/>
            <w:sz w:val="16"/>
            <w:szCs w:val="16"/>
            <w:lang w:eastAsia="pt-BR"/>
          </w:rPr>
          <w:t>afojunior@gmail.com</w:t>
        </w:r>
      </w:hyperlink>
      <w:r w:rsidRPr="00E37600">
        <w:rPr>
          <w:rFonts w:ascii="Arial" w:eastAsia="Times New Roman" w:hAnsi="Arial" w:cs="Arial"/>
          <w:color w:val="000000"/>
          <w:sz w:val="16"/>
          <w:szCs w:val="16"/>
          <w:lang w:eastAsia="pt-BR"/>
        </w:rPr>
        <w:t xml:space="preserve">, ³Pesquisador - Embrapa Agrobiologia, jerri.zilli@embrapa.br </w:t>
      </w:r>
    </w:p>
    <w:p w:rsidR="005F2001" w:rsidRPr="00C9732A" w:rsidRDefault="005F2001" w:rsidP="005F2001">
      <w:pPr>
        <w:pBdr>
          <w:left w:val="single" w:sz="4" w:space="4" w:color="000000"/>
          <w:right w:val="single" w:sz="4" w:space="4" w:color="000000"/>
        </w:pBdr>
        <w:shd w:val="clear" w:color="auto" w:fill="FFFFFF" w:themeFill="background1"/>
        <w:spacing w:after="0" w:line="240" w:lineRule="auto"/>
        <w:jc w:val="right"/>
        <w:rPr>
          <w:rFonts w:ascii="Arial" w:eastAsia="Times New Roman" w:hAnsi="Arial" w:cs="Arial"/>
          <w:i/>
          <w:iCs/>
          <w:color w:val="000000"/>
          <w:sz w:val="18"/>
          <w:szCs w:val="18"/>
          <w:lang w:eastAsia="pt-BR"/>
        </w:rPr>
      </w:pPr>
    </w:p>
    <w:p w:rsidR="005F2001" w:rsidRPr="00C9732A" w:rsidRDefault="005F2001" w:rsidP="005F2001">
      <w:pPr>
        <w:pBdr>
          <w:left w:val="single" w:sz="4" w:space="4" w:color="000000"/>
          <w:right w:val="single" w:sz="4" w:space="4" w:color="000000"/>
        </w:pBdr>
        <w:shd w:val="clear" w:color="auto" w:fill="FFFFFF" w:themeFill="background1"/>
        <w:spacing w:after="0" w:line="240" w:lineRule="auto"/>
        <w:jc w:val="both"/>
        <w:rPr>
          <w:rFonts w:ascii="Verdana" w:eastAsia="Times New Roman" w:hAnsi="Verdana"/>
          <w:color w:val="111111"/>
          <w:sz w:val="20"/>
          <w:szCs w:val="20"/>
          <w:lang w:eastAsia="pt-BR"/>
        </w:rPr>
      </w:pPr>
      <w:r w:rsidRPr="00C9732A">
        <w:rPr>
          <w:rFonts w:ascii="Arial" w:hAnsi="Arial" w:cs="Arial"/>
          <w:sz w:val="20"/>
          <w:szCs w:val="20"/>
        </w:rPr>
        <w:t>As bactérias promotoras de crescimento vegetal (BPCV) representam um grupo de microrganismos que se associam às plantas e podem estimular a</w:t>
      </w:r>
      <w:r>
        <w:rPr>
          <w:rFonts w:ascii="Arial" w:hAnsi="Arial" w:cs="Arial"/>
          <w:sz w:val="20"/>
          <w:szCs w:val="20"/>
        </w:rPr>
        <w:t xml:space="preserve"> sua</w:t>
      </w:r>
      <w:r w:rsidRPr="00C9732A">
        <w:rPr>
          <w:rFonts w:ascii="Arial" w:hAnsi="Arial" w:cs="Arial"/>
          <w:sz w:val="20"/>
          <w:szCs w:val="20"/>
        </w:rPr>
        <w:t xml:space="preserve"> produtividade por meio de diferentes mecanismos, como a síntese de hormônios, a exemplo do ácido indol-3-acético (AIA). Diferentes gêneros de bactérias desempenham funções benéficas para as plantas; entre eles, destaca-se o gênero </w:t>
      </w:r>
      <w:proofErr w:type="spellStart"/>
      <w:r w:rsidRPr="00C9732A">
        <w:rPr>
          <w:rFonts w:ascii="Arial" w:hAnsi="Arial" w:cs="Arial"/>
          <w:i/>
          <w:iCs/>
          <w:sz w:val="20"/>
          <w:szCs w:val="20"/>
        </w:rPr>
        <w:t>Nitrospirillum</w:t>
      </w:r>
      <w:proofErr w:type="spellEnd"/>
      <w:r w:rsidRPr="00C9732A">
        <w:rPr>
          <w:rFonts w:ascii="Arial" w:hAnsi="Arial" w:cs="Arial"/>
          <w:sz w:val="20"/>
          <w:szCs w:val="20"/>
        </w:rPr>
        <w:t xml:space="preserve">. Este estudo objetivou investigar a capacidade de síntese de </w:t>
      </w:r>
      <w:proofErr w:type="spellStart"/>
      <w:r w:rsidRPr="00C9732A">
        <w:rPr>
          <w:rFonts w:ascii="Arial" w:hAnsi="Arial" w:cs="Arial"/>
          <w:sz w:val="20"/>
          <w:szCs w:val="20"/>
        </w:rPr>
        <w:t>indol</w:t>
      </w:r>
      <w:proofErr w:type="spellEnd"/>
      <w:r w:rsidRPr="00C9732A">
        <w:rPr>
          <w:rFonts w:ascii="Arial" w:hAnsi="Arial" w:cs="Arial"/>
          <w:sz w:val="20"/>
          <w:szCs w:val="20"/>
        </w:rPr>
        <w:t xml:space="preserve"> em nove cepas de </w:t>
      </w:r>
      <w:proofErr w:type="spellStart"/>
      <w:r w:rsidRPr="00C9732A">
        <w:rPr>
          <w:rFonts w:ascii="Arial" w:hAnsi="Arial" w:cs="Arial"/>
          <w:i/>
          <w:iCs/>
          <w:sz w:val="20"/>
          <w:szCs w:val="20"/>
        </w:rPr>
        <w:t>Nitrospirillum</w:t>
      </w:r>
      <w:proofErr w:type="spellEnd"/>
      <w:r w:rsidRPr="00C9732A">
        <w:rPr>
          <w:rFonts w:ascii="Arial" w:hAnsi="Arial" w:cs="Arial"/>
          <w:sz w:val="20"/>
          <w:szCs w:val="20"/>
        </w:rPr>
        <w:t xml:space="preserve">, utilizando abordagens genômicas comparativas, a fim de identificar variações entre as espécies quanto à presença de enzimas relacionadas ao metabolismo </w:t>
      </w:r>
      <w:r w:rsidRPr="00C9732A">
        <w:rPr>
          <w:rFonts w:ascii="Arial" w:hAnsi="Arial" w:cs="Arial"/>
          <w:noProof/>
          <w:sz w:val="20"/>
          <w:szCs w:val="20"/>
        </w:rPr>
        <w:t xml:space="preserve">de indol. A análise genômica foi realizada com genomas obtidos a partir do banco de dados </w:t>
      </w:r>
      <w:r w:rsidRPr="00E37600">
        <w:rPr>
          <w:rFonts w:ascii="Arial" w:hAnsi="Arial" w:cs="Arial"/>
          <w:noProof/>
          <w:sz w:val="20"/>
          <w:szCs w:val="20"/>
        </w:rPr>
        <w:t>B</w:t>
      </w:r>
      <w:r>
        <w:rPr>
          <w:rFonts w:ascii="Arial" w:hAnsi="Arial" w:cs="Arial"/>
          <w:noProof/>
          <w:sz w:val="20"/>
          <w:szCs w:val="20"/>
        </w:rPr>
        <w:t>acterial and</w:t>
      </w:r>
      <w:r w:rsidRPr="00E37600">
        <w:rPr>
          <w:rFonts w:ascii="Arial" w:hAnsi="Arial" w:cs="Arial"/>
          <w:noProof/>
          <w:sz w:val="20"/>
          <w:szCs w:val="20"/>
        </w:rPr>
        <w:t xml:space="preserve"> V</w:t>
      </w:r>
      <w:r>
        <w:rPr>
          <w:rFonts w:ascii="Arial" w:hAnsi="Arial" w:cs="Arial"/>
          <w:noProof/>
          <w:sz w:val="20"/>
          <w:szCs w:val="20"/>
        </w:rPr>
        <w:t>iral</w:t>
      </w:r>
      <w:r w:rsidRPr="00E37600">
        <w:rPr>
          <w:rFonts w:ascii="Arial" w:hAnsi="Arial" w:cs="Arial"/>
          <w:noProof/>
          <w:sz w:val="20"/>
          <w:szCs w:val="20"/>
        </w:rPr>
        <w:t xml:space="preserve"> B</w:t>
      </w:r>
      <w:r>
        <w:rPr>
          <w:rFonts w:ascii="Arial" w:hAnsi="Arial" w:cs="Arial"/>
          <w:noProof/>
          <w:sz w:val="20"/>
          <w:szCs w:val="20"/>
        </w:rPr>
        <w:t>ioinformatics</w:t>
      </w:r>
      <w:r w:rsidRPr="00E37600">
        <w:rPr>
          <w:rFonts w:ascii="Arial" w:hAnsi="Arial" w:cs="Arial"/>
          <w:noProof/>
          <w:sz w:val="20"/>
          <w:szCs w:val="20"/>
        </w:rPr>
        <w:t xml:space="preserve"> R</w:t>
      </w:r>
      <w:r>
        <w:rPr>
          <w:rFonts w:ascii="Arial" w:hAnsi="Arial" w:cs="Arial"/>
          <w:noProof/>
          <w:sz w:val="20"/>
          <w:szCs w:val="20"/>
        </w:rPr>
        <w:t>esource</w:t>
      </w:r>
      <w:r w:rsidRPr="00E37600">
        <w:rPr>
          <w:rFonts w:ascii="Arial" w:hAnsi="Arial" w:cs="Arial"/>
          <w:noProof/>
          <w:sz w:val="20"/>
          <w:szCs w:val="20"/>
        </w:rPr>
        <w:t xml:space="preserve"> C</w:t>
      </w:r>
      <w:r>
        <w:rPr>
          <w:rFonts w:ascii="Arial" w:hAnsi="Arial" w:cs="Arial"/>
          <w:noProof/>
          <w:sz w:val="20"/>
          <w:szCs w:val="20"/>
        </w:rPr>
        <w:t>enter</w:t>
      </w:r>
      <w:r w:rsidRPr="00E37600">
        <w:rPr>
          <w:rFonts w:ascii="Arial" w:hAnsi="Arial" w:cs="Arial"/>
          <w:noProof/>
          <w:sz w:val="20"/>
          <w:szCs w:val="20"/>
        </w:rPr>
        <w:t xml:space="preserve"> </w:t>
      </w:r>
      <w:r>
        <w:rPr>
          <w:rFonts w:ascii="Arial" w:hAnsi="Arial" w:cs="Arial"/>
          <w:noProof/>
          <w:sz w:val="20"/>
          <w:szCs w:val="20"/>
        </w:rPr>
        <w:t>(</w:t>
      </w:r>
      <w:r w:rsidRPr="00C9732A">
        <w:rPr>
          <w:rFonts w:ascii="Arial" w:hAnsi="Arial" w:cs="Arial"/>
          <w:noProof/>
          <w:sz w:val="20"/>
          <w:szCs w:val="20"/>
        </w:rPr>
        <w:t>BV-BRC</w:t>
      </w:r>
      <w:r>
        <w:rPr>
          <w:rFonts w:ascii="Arial" w:hAnsi="Arial" w:cs="Arial"/>
          <w:noProof/>
          <w:sz w:val="20"/>
          <w:szCs w:val="20"/>
        </w:rPr>
        <w:t>)</w:t>
      </w:r>
      <w:r w:rsidRPr="00C9732A">
        <w:rPr>
          <w:rFonts w:ascii="Arial" w:hAnsi="Arial" w:cs="Arial"/>
          <w:noProof/>
          <w:sz w:val="20"/>
          <w:szCs w:val="20"/>
        </w:rPr>
        <w:t xml:space="preserve">. Os </w:t>
      </w:r>
      <w:r>
        <w:rPr>
          <w:rFonts w:ascii="Arial" w:hAnsi="Arial" w:cs="Arial"/>
          <w:noProof/>
          <w:sz w:val="20"/>
          <w:szCs w:val="20"/>
        </w:rPr>
        <w:t>a</w:t>
      </w:r>
      <w:r w:rsidRPr="00C9732A">
        <w:rPr>
          <w:rFonts w:ascii="Arial" w:hAnsi="Arial" w:cs="Arial"/>
          <w:noProof/>
          <w:sz w:val="20"/>
          <w:szCs w:val="20"/>
        </w:rPr>
        <w:t xml:space="preserve">linhamentos genômicos foram realizados utilizando a ferramenta </w:t>
      </w:r>
      <w:r>
        <w:rPr>
          <w:rFonts w:ascii="Arial" w:hAnsi="Arial" w:cs="Arial"/>
          <w:noProof/>
          <w:sz w:val="20"/>
          <w:szCs w:val="20"/>
        </w:rPr>
        <w:t>p</w:t>
      </w:r>
      <w:r w:rsidRPr="00C9732A">
        <w:rPr>
          <w:rFonts w:ascii="Arial" w:hAnsi="Arial" w:cs="Arial"/>
          <w:noProof/>
          <w:sz w:val="20"/>
          <w:szCs w:val="20"/>
        </w:rPr>
        <w:t xml:space="preserve">rogressiveMauve, e a comparação funcional foi feita por meio de análises de sequências proteicas usando BLASTP. Foram identificadas as vias bioquímicas relacionadas ao metabolismo do indol através de mapeamentos gerados pelo KEGG, sendo investigada a presença de enzimas essenciais para a síntese de indol, como indol-3-glicerol-fosfato sintase. </w:t>
      </w:r>
      <w:r w:rsidRPr="00C9732A">
        <w:rPr>
          <w:rFonts w:ascii="Arial" w:hAnsi="Arial" w:cs="Arial"/>
          <w:sz w:val="20"/>
          <w:szCs w:val="20"/>
        </w:rPr>
        <w:t xml:space="preserve">Os resultados mostraram variações significativas entre as espécies no que diz respeito à presença das enzimas necessárias para a produção de </w:t>
      </w:r>
      <w:proofErr w:type="spellStart"/>
      <w:r w:rsidRPr="00C9732A">
        <w:rPr>
          <w:rFonts w:ascii="Arial" w:hAnsi="Arial" w:cs="Arial"/>
          <w:sz w:val="20"/>
          <w:szCs w:val="20"/>
        </w:rPr>
        <w:t>indol</w:t>
      </w:r>
      <w:proofErr w:type="spellEnd"/>
      <w:r w:rsidRPr="00C9732A">
        <w:rPr>
          <w:rFonts w:ascii="Arial" w:hAnsi="Arial" w:cs="Arial"/>
          <w:sz w:val="20"/>
          <w:szCs w:val="20"/>
        </w:rPr>
        <w:t xml:space="preserve">. Algumas </w:t>
      </w:r>
      <w:r>
        <w:rPr>
          <w:rFonts w:ascii="Arial" w:hAnsi="Arial" w:cs="Arial"/>
          <w:sz w:val="20"/>
          <w:szCs w:val="20"/>
        </w:rPr>
        <w:t>estirpes</w:t>
      </w:r>
      <w:r w:rsidRPr="00C9732A">
        <w:rPr>
          <w:rFonts w:ascii="Arial" w:hAnsi="Arial" w:cs="Arial"/>
          <w:sz w:val="20"/>
          <w:szCs w:val="20"/>
        </w:rPr>
        <w:t>, como</w:t>
      </w:r>
      <w:r>
        <w:rPr>
          <w:rFonts w:ascii="Arial" w:hAnsi="Arial" w:cs="Arial"/>
          <w:sz w:val="20"/>
          <w:szCs w:val="20"/>
        </w:rPr>
        <w:t xml:space="preserve"> BR 11124 de</w:t>
      </w:r>
      <w:r w:rsidRPr="00C9732A">
        <w:rPr>
          <w:rFonts w:ascii="Arial" w:hAnsi="Arial" w:cs="Arial"/>
          <w:sz w:val="20"/>
          <w:szCs w:val="20"/>
        </w:rPr>
        <w:t xml:space="preserve"> </w:t>
      </w:r>
      <w:r w:rsidRPr="00C9732A">
        <w:rPr>
          <w:rFonts w:ascii="Arial" w:hAnsi="Arial" w:cs="Arial"/>
          <w:i/>
          <w:iCs/>
          <w:sz w:val="20"/>
          <w:szCs w:val="20"/>
        </w:rPr>
        <w:t>N. amazonense</w:t>
      </w:r>
      <w:r w:rsidRPr="00C9732A">
        <w:rPr>
          <w:rFonts w:ascii="Arial" w:hAnsi="Arial" w:cs="Arial"/>
          <w:sz w:val="20"/>
          <w:szCs w:val="20"/>
        </w:rPr>
        <w:t xml:space="preserve"> e</w:t>
      </w:r>
      <w:r>
        <w:rPr>
          <w:rFonts w:ascii="Arial" w:hAnsi="Arial" w:cs="Arial"/>
          <w:sz w:val="20"/>
          <w:szCs w:val="20"/>
        </w:rPr>
        <w:t xml:space="preserve"> </w:t>
      </w:r>
      <w:proofErr w:type="spellStart"/>
      <w:r w:rsidRPr="00762431">
        <w:rPr>
          <w:rFonts w:ascii="Arial" w:hAnsi="Arial" w:cs="Arial"/>
          <w:i/>
          <w:iCs/>
          <w:sz w:val="20"/>
          <w:szCs w:val="20"/>
        </w:rPr>
        <w:t>NItropsirillum</w:t>
      </w:r>
      <w:proofErr w:type="spellEnd"/>
      <w:r>
        <w:rPr>
          <w:rFonts w:ascii="Arial" w:hAnsi="Arial" w:cs="Arial"/>
          <w:sz w:val="20"/>
          <w:szCs w:val="20"/>
        </w:rPr>
        <w:t xml:space="preserve"> sp. </w:t>
      </w:r>
      <w:r w:rsidRPr="00C9732A">
        <w:rPr>
          <w:rFonts w:ascii="Arial" w:hAnsi="Arial" w:cs="Arial"/>
          <w:sz w:val="20"/>
          <w:szCs w:val="20"/>
        </w:rPr>
        <w:t xml:space="preserve"> </w:t>
      </w:r>
      <w:r>
        <w:rPr>
          <w:rFonts w:ascii="Arial" w:hAnsi="Arial" w:cs="Arial"/>
          <w:sz w:val="20"/>
          <w:szCs w:val="20"/>
        </w:rPr>
        <w:t>BR 11828</w:t>
      </w:r>
      <w:r w:rsidRPr="00C9732A">
        <w:rPr>
          <w:rFonts w:ascii="Arial" w:hAnsi="Arial" w:cs="Arial"/>
          <w:sz w:val="20"/>
          <w:szCs w:val="20"/>
        </w:rPr>
        <w:t xml:space="preserve">, apresentaram todas as enzimas requeridas para a síntese de </w:t>
      </w:r>
      <w:proofErr w:type="spellStart"/>
      <w:r w:rsidRPr="00C9732A">
        <w:rPr>
          <w:rFonts w:ascii="Arial" w:hAnsi="Arial" w:cs="Arial"/>
          <w:sz w:val="20"/>
          <w:szCs w:val="20"/>
        </w:rPr>
        <w:t>indol</w:t>
      </w:r>
      <w:proofErr w:type="spellEnd"/>
      <w:r w:rsidRPr="00C9732A">
        <w:rPr>
          <w:rFonts w:ascii="Arial" w:hAnsi="Arial" w:cs="Arial"/>
          <w:sz w:val="20"/>
          <w:szCs w:val="20"/>
        </w:rPr>
        <w:t xml:space="preserve">, enquanto </w:t>
      </w:r>
      <w:proofErr w:type="spellStart"/>
      <w:r w:rsidRPr="00762431">
        <w:rPr>
          <w:rFonts w:ascii="Arial" w:hAnsi="Arial" w:cs="Arial"/>
          <w:i/>
          <w:iCs/>
          <w:sz w:val="20"/>
          <w:szCs w:val="20"/>
        </w:rPr>
        <w:t>NItropsirillum</w:t>
      </w:r>
      <w:proofErr w:type="spellEnd"/>
      <w:r>
        <w:rPr>
          <w:rFonts w:ascii="Arial" w:hAnsi="Arial" w:cs="Arial"/>
          <w:sz w:val="20"/>
          <w:szCs w:val="20"/>
        </w:rPr>
        <w:t xml:space="preserve"> sp. </w:t>
      </w:r>
      <w:r w:rsidRPr="00C9732A">
        <w:rPr>
          <w:rFonts w:ascii="Arial" w:hAnsi="Arial" w:cs="Arial"/>
          <w:sz w:val="20"/>
          <w:szCs w:val="20"/>
        </w:rPr>
        <w:t xml:space="preserve"> </w:t>
      </w:r>
      <w:r>
        <w:rPr>
          <w:rFonts w:ascii="Arial" w:hAnsi="Arial" w:cs="Arial"/>
          <w:sz w:val="20"/>
          <w:szCs w:val="20"/>
        </w:rPr>
        <w:t>BR 11622</w:t>
      </w:r>
      <w:r w:rsidRPr="00C9732A">
        <w:rPr>
          <w:rFonts w:ascii="Arial" w:hAnsi="Arial" w:cs="Arial"/>
          <w:sz w:val="20"/>
          <w:szCs w:val="20"/>
        </w:rPr>
        <w:t xml:space="preserve"> </w:t>
      </w:r>
      <w:r>
        <w:rPr>
          <w:rFonts w:ascii="Arial" w:hAnsi="Arial" w:cs="Arial"/>
          <w:sz w:val="20"/>
          <w:szCs w:val="20"/>
        </w:rPr>
        <w:t xml:space="preserve">e </w:t>
      </w:r>
      <w:r w:rsidRPr="00C9732A">
        <w:rPr>
          <w:rFonts w:ascii="Arial" w:hAnsi="Arial" w:cs="Arial"/>
          <w:i/>
          <w:iCs/>
          <w:sz w:val="20"/>
          <w:szCs w:val="20"/>
        </w:rPr>
        <w:t xml:space="preserve">N. </w:t>
      </w:r>
      <w:proofErr w:type="spellStart"/>
      <w:r w:rsidRPr="00C9732A">
        <w:rPr>
          <w:rFonts w:ascii="Arial" w:hAnsi="Arial" w:cs="Arial"/>
          <w:i/>
          <w:iCs/>
          <w:sz w:val="20"/>
          <w:szCs w:val="20"/>
        </w:rPr>
        <w:t>iridis</w:t>
      </w:r>
      <w:proofErr w:type="spellEnd"/>
      <w:r w:rsidRPr="00C9732A">
        <w:rPr>
          <w:rFonts w:ascii="Arial" w:hAnsi="Arial" w:cs="Arial"/>
          <w:sz w:val="20"/>
          <w:szCs w:val="20"/>
        </w:rPr>
        <w:t xml:space="preserve"> </w:t>
      </w:r>
      <w:r w:rsidRPr="004D43FD">
        <w:rPr>
          <w:rFonts w:ascii="Arial" w:hAnsi="Arial" w:cs="Arial"/>
          <w:sz w:val="20"/>
          <w:szCs w:val="20"/>
        </w:rPr>
        <w:t>DSM 22198</w:t>
      </w:r>
      <w:r w:rsidRPr="004D43FD">
        <w:rPr>
          <w:rFonts w:ascii="Arial" w:hAnsi="Arial" w:cs="Arial"/>
          <w:sz w:val="20"/>
          <w:szCs w:val="20"/>
          <w:vertAlign w:val="superscript"/>
        </w:rPr>
        <w:t>T</w:t>
      </w:r>
      <w:r w:rsidRPr="001D1544">
        <w:rPr>
          <w:sz w:val="20"/>
          <w:szCs w:val="20"/>
        </w:rPr>
        <w:t xml:space="preserve"> </w:t>
      </w:r>
      <w:r w:rsidRPr="00C9732A">
        <w:rPr>
          <w:rFonts w:ascii="Arial" w:hAnsi="Arial" w:cs="Arial"/>
          <w:sz w:val="20"/>
          <w:szCs w:val="20"/>
        </w:rPr>
        <w:t xml:space="preserve">e não demonstraram essa capacidade. Além disso, foram observadas diferenças na quantidade de cópias de algumas enzimas entre os genomas analisados, refletindo a diversidade funcional do gênero em termos de sua habilidade de produção de </w:t>
      </w:r>
      <w:proofErr w:type="spellStart"/>
      <w:r w:rsidRPr="00C9732A">
        <w:rPr>
          <w:rFonts w:ascii="Arial" w:hAnsi="Arial" w:cs="Arial"/>
          <w:sz w:val="20"/>
          <w:szCs w:val="20"/>
        </w:rPr>
        <w:t>indol</w:t>
      </w:r>
      <w:proofErr w:type="spellEnd"/>
      <w:r w:rsidRPr="00C9732A">
        <w:rPr>
          <w:rFonts w:ascii="Arial" w:hAnsi="Arial" w:cs="Arial"/>
          <w:sz w:val="20"/>
          <w:szCs w:val="20"/>
        </w:rPr>
        <w:t xml:space="preserve">. </w:t>
      </w:r>
      <w:r w:rsidRPr="004D43FD">
        <w:rPr>
          <w:rFonts w:ascii="Arial" w:hAnsi="Arial" w:cs="Arial"/>
          <w:sz w:val="20"/>
          <w:szCs w:val="20"/>
        </w:rPr>
        <w:t xml:space="preserve">A capacidade de produzir </w:t>
      </w:r>
      <w:proofErr w:type="spellStart"/>
      <w:r w:rsidRPr="004D43FD">
        <w:rPr>
          <w:rFonts w:ascii="Arial" w:hAnsi="Arial" w:cs="Arial"/>
          <w:sz w:val="20"/>
          <w:szCs w:val="20"/>
        </w:rPr>
        <w:t>indol</w:t>
      </w:r>
      <w:proofErr w:type="spellEnd"/>
      <w:r w:rsidRPr="004D43FD">
        <w:rPr>
          <w:rFonts w:ascii="Arial" w:hAnsi="Arial" w:cs="Arial"/>
          <w:sz w:val="20"/>
          <w:szCs w:val="20"/>
        </w:rPr>
        <w:t xml:space="preserve"> varia consideravelmente entre as espécies. A caracterização genômica das cepas-tipo revelou diferenças funcionais que podem ser exploradas para o desenvolvimento de novos </w:t>
      </w:r>
      <w:proofErr w:type="spellStart"/>
      <w:r w:rsidRPr="00C9732A">
        <w:rPr>
          <w:rFonts w:ascii="Arial" w:hAnsi="Arial" w:cs="Arial"/>
          <w:sz w:val="20"/>
          <w:szCs w:val="20"/>
        </w:rPr>
        <w:t>inoculantes</w:t>
      </w:r>
      <w:proofErr w:type="spellEnd"/>
      <w:r w:rsidRPr="004D43FD">
        <w:rPr>
          <w:rFonts w:ascii="Arial" w:hAnsi="Arial" w:cs="Arial"/>
          <w:sz w:val="20"/>
          <w:szCs w:val="20"/>
        </w:rPr>
        <w:t xml:space="preserve"> mais eficientes e específicos para diferentes culturas agrícolas.</w:t>
      </w:r>
    </w:p>
    <w:p w:rsidR="005F2001" w:rsidRDefault="005F2001" w:rsidP="005F2001">
      <w:pPr>
        <w:pBdr>
          <w:left w:val="single" w:sz="4" w:space="4" w:color="000000"/>
          <w:bottom w:val="single" w:sz="4" w:space="1" w:color="000000"/>
          <w:right w:val="single" w:sz="4" w:space="4" w:color="000000"/>
        </w:pBdr>
        <w:shd w:val="clear" w:color="auto" w:fill="FFFFFF" w:themeFill="background1"/>
        <w:spacing w:after="120" w:line="240" w:lineRule="auto"/>
        <w:rPr>
          <w:rFonts w:eastAsia="Times New Roman" w:cs="Arial"/>
          <w:color w:val="000000"/>
          <w:sz w:val="18"/>
          <w:szCs w:val="18"/>
          <w:lang w:eastAsia="pt-BR"/>
        </w:rPr>
      </w:pPr>
    </w:p>
    <w:p w:rsidR="005F2001" w:rsidRDefault="005F2001" w:rsidP="005F2001">
      <w:pPr>
        <w:pBdr>
          <w:left w:val="single" w:sz="4" w:space="4" w:color="000000"/>
          <w:bottom w:val="single" w:sz="4" w:space="1" w:color="000000"/>
          <w:right w:val="single" w:sz="4" w:space="4" w:color="000000"/>
        </w:pBdr>
        <w:shd w:val="clear" w:color="auto" w:fill="FFFFFF" w:themeFill="background1"/>
        <w:spacing w:after="0" w:line="240" w:lineRule="auto"/>
        <w:rPr>
          <w:rFonts w:eastAsia="Times New Roman" w:cs="Arial"/>
          <w:color w:val="000000"/>
          <w:sz w:val="18"/>
          <w:szCs w:val="18"/>
          <w:lang w:eastAsia="pt-BR"/>
        </w:rPr>
      </w:pPr>
      <w:r w:rsidRPr="00C40E6D">
        <w:rPr>
          <w:rFonts w:eastAsia="Times New Roman" w:cs="Arial"/>
          <w:color w:val="000000"/>
          <w:sz w:val="18"/>
          <w:szCs w:val="18"/>
          <w:lang w:eastAsia="pt-BR"/>
        </w:rPr>
        <w:t>Palavras</w:t>
      </w:r>
      <w:r>
        <w:rPr>
          <w:rFonts w:eastAsia="Times New Roman" w:cs="Arial"/>
          <w:color w:val="000000"/>
          <w:sz w:val="18"/>
          <w:szCs w:val="18"/>
          <w:lang w:eastAsia="pt-BR"/>
        </w:rPr>
        <w:t>-c</w:t>
      </w:r>
      <w:r w:rsidRPr="00C40E6D">
        <w:rPr>
          <w:rFonts w:eastAsia="Times New Roman" w:cs="Arial"/>
          <w:color w:val="000000"/>
          <w:sz w:val="18"/>
          <w:szCs w:val="18"/>
          <w:lang w:eastAsia="pt-BR"/>
        </w:rPr>
        <w:t>have</w:t>
      </w:r>
      <w:r>
        <w:rPr>
          <w:rFonts w:eastAsia="Times New Roman" w:cs="Arial"/>
          <w:color w:val="000000"/>
          <w:sz w:val="18"/>
          <w:szCs w:val="18"/>
          <w:lang w:eastAsia="pt-BR"/>
        </w:rPr>
        <w:t>: á</w:t>
      </w:r>
      <w:r w:rsidRPr="008862FA">
        <w:rPr>
          <w:rFonts w:eastAsia="Times New Roman" w:cs="Arial"/>
          <w:color w:val="000000"/>
          <w:sz w:val="18"/>
          <w:szCs w:val="18"/>
          <w:lang w:eastAsia="pt-BR"/>
        </w:rPr>
        <w:t xml:space="preserve">cido indol-3-acético, </w:t>
      </w:r>
      <w:proofErr w:type="spellStart"/>
      <w:r>
        <w:rPr>
          <w:rFonts w:eastAsia="Times New Roman" w:cs="Arial"/>
          <w:i/>
          <w:iCs/>
          <w:color w:val="000000"/>
          <w:sz w:val="18"/>
          <w:szCs w:val="18"/>
          <w:lang w:eastAsia="pt-BR"/>
        </w:rPr>
        <w:t>diazotróficas</w:t>
      </w:r>
      <w:proofErr w:type="spellEnd"/>
      <w:r w:rsidRPr="008862FA">
        <w:rPr>
          <w:rFonts w:eastAsia="Times New Roman" w:cs="Arial"/>
          <w:color w:val="000000"/>
          <w:sz w:val="18"/>
          <w:szCs w:val="18"/>
          <w:lang w:eastAsia="pt-BR"/>
        </w:rPr>
        <w:t xml:space="preserve">, </w:t>
      </w:r>
      <w:r>
        <w:rPr>
          <w:rFonts w:eastAsia="Times New Roman" w:cs="Arial"/>
          <w:color w:val="000000"/>
          <w:sz w:val="18"/>
          <w:szCs w:val="18"/>
          <w:lang w:eastAsia="pt-BR"/>
        </w:rPr>
        <w:t>b</w:t>
      </w:r>
      <w:r w:rsidRPr="008862FA">
        <w:rPr>
          <w:rFonts w:eastAsia="Times New Roman" w:cs="Arial"/>
          <w:color w:val="000000"/>
          <w:sz w:val="18"/>
          <w:szCs w:val="18"/>
          <w:lang w:eastAsia="pt-BR"/>
        </w:rPr>
        <w:t>ioinformática.</w:t>
      </w:r>
    </w:p>
    <w:p w:rsidR="005F2001" w:rsidRDefault="005F2001" w:rsidP="005F2001">
      <w:pPr>
        <w:pBdr>
          <w:left w:val="single" w:sz="4" w:space="4" w:color="000000"/>
          <w:bottom w:val="single" w:sz="4" w:space="1" w:color="000000"/>
          <w:right w:val="single" w:sz="4" w:space="4" w:color="000000"/>
        </w:pBdr>
        <w:shd w:val="clear" w:color="auto" w:fill="FFFFFF" w:themeFill="background1"/>
        <w:spacing w:after="0" w:line="240" w:lineRule="auto"/>
        <w:rPr>
          <w:rFonts w:eastAsia="Times New Roman" w:cs="Arial"/>
          <w:color w:val="000000"/>
          <w:sz w:val="18"/>
          <w:szCs w:val="18"/>
          <w:lang w:eastAsia="pt-BR"/>
        </w:rPr>
      </w:pPr>
    </w:p>
    <w:p w:rsidR="005F2001" w:rsidRPr="00C40E6D" w:rsidRDefault="005F2001" w:rsidP="005F2001">
      <w:pPr>
        <w:pBdr>
          <w:left w:val="single" w:sz="4" w:space="4" w:color="000000"/>
          <w:bottom w:val="single" w:sz="4" w:space="1" w:color="000000"/>
          <w:right w:val="single" w:sz="4" w:space="4" w:color="000000"/>
        </w:pBdr>
        <w:shd w:val="clear" w:color="auto" w:fill="FFFFFF" w:themeFill="background1"/>
        <w:spacing w:after="0" w:line="240" w:lineRule="auto"/>
        <w:rPr>
          <w:rFonts w:ascii="Verdana" w:eastAsia="Times New Roman" w:hAnsi="Verdana"/>
          <w:color w:val="111111"/>
          <w:sz w:val="17"/>
          <w:szCs w:val="17"/>
          <w:lang w:eastAsia="pt-BR"/>
        </w:rPr>
      </w:pPr>
      <w:r>
        <w:rPr>
          <w:rFonts w:eastAsia="Times New Roman" w:cs="Arial"/>
          <w:color w:val="000000"/>
          <w:sz w:val="18"/>
          <w:szCs w:val="18"/>
          <w:lang w:eastAsia="pt-BR"/>
        </w:rPr>
        <w:t xml:space="preserve">Agradecimentos: </w:t>
      </w:r>
      <w:proofErr w:type="spellStart"/>
      <w:r>
        <w:rPr>
          <w:rFonts w:eastAsia="Times New Roman" w:cs="Arial"/>
          <w:color w:val="000000"/>
          <w:sz w:val="18"/>
          <w:szCs w:val="18"/>
          <w:lang w:eastAsia="pt-BR"/>
        </w:rPr>
        <w:t>Faperj</w:t>
      </w:r>
      <w:proofErr w:type="spellEnd"/>
      <w:r>
        <w:rPr>
          <w:rFonts w:eastAsia="Times New Roman" w:cs="Arial"/>
          <w:color w:val="000000"/>
          <w:sz w:val="18"/>
          <w:szCs w:val="18"/>
          <w:lang w:eastAsia="pt-BR"/>
        </w:rPr>
        <w:t>, CNPq e Capes</w:t>
      </w:r>
    </w:p>
    <w:p w:rsidR="00FB35EC" w:rsidRDefault="005F2001"/>
    <w:sectPr w:rsidR="00FB35E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001"/>
    <w:rsid w:val="00451EE6"/>
    <w:rsid w:val="005F2001"/>
    <w:rsid w:val="00856E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CD322D-0E26-4F23-8E18-DA7A97A0F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001"/>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5F200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fojunior@gmail.com" TargetMode="External"/><Relationship Id="rId4" Type="http://schemas.openxmlformats.org/officeDocument/2006/relationships/hyperlink" Target="mailto:matheusmedeiros@ufrrj.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430</Words>
  <Characters>2326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Carmelita</dc:creator>
  <cp:keywords/>
  <dc:description/>
  <cp:lastModifiedBy>Carmelita</cp:lastModifiedBy>
  <cp:revision>1</cp:revision>
  <dcterms:created xsi:type="dcterms:W3CDTF">2025-02-25T17:58:00Z</dcterms:created>
  <dcterms:modified xsi:type="dcterms:W3CDTF">2025-02-25T18:00:00Z</dcterms:modified>
</cp:coreProperties>
</file>